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콘텐츠 캘린더 양식</w:t>
      </w:r>
    </w:p>
    <w:p>
      <w:r>
        <w:t xml:space="preserve">충북가정연합 SNS 전략 운영 양식</w:t>
      </w:r>
    </w:p>
    <w:p>
      <w:r>
        <w:t xml:space="preserve">작성일: 2026년 6월 6일</w:t>
      </w:r>
    </w:p>
    <w:p>
      <w:pPr>
        <w:pStyle w:val="Heading2"/>
      </w:pPr>
      <w:r>
        <w:t xml:space="preserve">목적</w:t>
      </w:r>
    </w:p>
    <w:p>
      <w:r>
        <w:t xml:space="preserve">월간 콘텐츠 주제와 채널별 게시 일정을 한눈에 관리하기 위한 양식이다.</w:t>
      </w:r>
    </w:p>
    <w:p>
      <w:pPr>
        <w:pStyle w:val="Heading2"/>
      </w:pPr>
      <w:r>
        <w:t xml:space="preserve">기본 정보</w:t>
      </w:r>
    </w:p>
    <w:tbl>
      <w:tblPr>
        <w:tblStyle w:val="TableGrid"/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tcPr>
            <w:tcW w:w="2400" w:type="dxa"/>
          </w:tcPr>
          <w:p>
            <w:r>
              <w:t xml:space="preserve">항목</w:t>
            </w:r>
          </w:p>
        </w:tc>
        <w:tc>
          <w:tcPr>
            <w:tcW w:w="2400" w:type="dxa"/>
          </w:tcPr>
          <w:p>
            <w:r>
              <w:t xml:space="preserve">내용</w:t>
            </w:r>
          </w:p>
        </w:tc>
      </w:tr>
      <w:tr>
        <w:tc>
          <w:tcPr>
            <w:tcW w:w="2400" w:type="dxa"/>
          </w:tcPr>
          <w:p>
            <w:r>
              <w:t xml:space="preserve">기준월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핵심 캠페인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주요 행사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강조 주제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주의 이슈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월간 콘텐츠표</w:t>
      </w:r>
    </w:p>
    <w:tbl>
      <w:tblPr>
        <w:tblStyle w:val="TableGrid"/>
        <w:tblW w:w="0" w:type="auto"/>
        <w:tblBorders>
          <w:top w:val="single" w:sz="4"/>
          <w:left w:val="single" w:sz="4"/>
          <w:bottom w:val="single" w:sz="4"/>
          <w:right w:val="single" w:sz="4"/>
          <w:insideH w:val="single" w:sz="4"/>
          <w:insideV w:val="single" w:sz="4"/>
        </w:tblBorders>
      </w:tblPr>
      <w:tr>
        <w:tc>
          <w:tcPr>
            <w:tcW w:w="2400" w:type="dxa"/>
          </w:tcPr>
          <w:p>
            <w:r>
              <w:t xml:space="preserve">주차</w:t>
            </w:r>
          </w:p>
        </w:tc>
        <w:tc>
          <w:tcPr>
            <w:tcW w:w="2400" w:type="dxa"/>
          </w:tcPr>
          <w:p>
            <w:r>
              <w:t xml:space="preserve">YouTube 긴 영상</w:t>
            </w:r>
          </w:p>
        </w:tc>
        <w:tc>
          <w:tcPr>
            <w:tcW w:w="2400" w:type="dxa"/>
          </w:tcPr>
          <w:p>
            <w:r>
              <w:t xml:space="preserve">Shorts/Reels</w:t>
            </w:r>
          </w:p>
        </w:tc>
        <w:tc>
          <w:tcPr>
            <w:tcW w:w="2400" w:type="dxa"/>
          </w:tcPr>
          <w:p>
            <w:r>
              <w:t xml:space="preserve">Naver Blog</w:t>
            </w:r>
          </w:p>
        </w:tc>
        <w:tc>
          <w:tcPr>
            <w:tcW w:w="2400" w:type="dxa"/>
          </w:tcPr>
          <w:p>
            <w:r>
              <w:t xml:space="preserve">Kakao</w:t>
            </w:r>
          </w:p>
        </w:tc>
        <w:tc>
          <w:tcPr>
            <w:tcW w:w="2400" w:type="dxa"/>
          </w:tcPr>
          <w:p>
            <w:r>
              <w:t xml:space="preserve">비고</w:t>
            </w:r>
          </w:p>
        </w:tc>
      </w:tr>
      <w:tr>
        <w:tc>
          <w:tcPr>
            <w:tcW w:w="2400" w:type="dxa"/>
          </w:tcPr>
          <w:p>
            <w:r>
              <w:t xml:space="preserve">1주차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2주차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3주차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  <w:tr>
        <w:tc>
          <w:tcPr>
            <w:tcW w:w="2400" w:type="dxa"/>
          </w:tcPr>
          <w:p>
            <w:r>
              <w:t xml:space="preserve">4주차</w:t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  <w:tc>
          <w:tcPr>
            <w:tcW w:w="2400" w:type="dxa"/>
          </w:tcPr>
          <w:p>
            <w:r>
              <w:t xml:space="preserve"/>
            </w:r>
          </w:p>
        </w:tc>
      </w:tr>
    </w:tbl>
    <w:p>
      <w:pPr>
        <w:pStyle w:val="Heading2"/>
      </w:pPr>
      <w:r>
        <w:t xml:space="preserve">검수 원칙</w:t>
      </w:r>
    </w:p>
    <w:p>
      <w:r>
        <w:t xml:space="preserve">• 소속과 목적을 숨기지 않는다.</w:t>
      </w:r>
    </w:p>
    <w:p>
      <w:r>
        <w:t xml:space="preserve">• 기존 교회와 신앙을 비난하지 않는다.</w:t>
      </w:r>
    </w:p>
    <w:p>
      <w:r>
        <w:t xml:space="preserve">• 정치·정파 표현을 피한다.</w:t>
      </w:r>
    </w:p>
    <w:p>
      <w:r>
        <w:t xml:space="preserve">• 각 콘텐츠 끝에 다음 행동을 분명히 둔다.</w:t>
      </w:r>
    </w:p>
    <w:sectPr>
      <w:pgSz w:w="11906" w:h="16838"/>
      <w:pgMar w:top="1440" w:right="1440" w:bottom="1440" w:left="144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Malgun Gothic" w:hAnsi="Malgun Gothic" w:eastAsia="맑은 고딕"/>
      <w:sz w:val="22"/>
    </w:rPr>
  </w:style>
  <w:style w:type="paragraph" w:styleId="Heading1">
    <w:name w:val="heading 1"/>
    <w:basedOn w:val="Normal"/>
    <w:pPr>
      <w:spacing w:before="240" w:after="120"/>
    </w:pPr>
    <w:rPr>
      <w:b/>
      <w:sz w:val="32"/>
    </w:rPr>
  </w:style>
  <w:style w:type="paragraph" w:styleId="Heading2">
    <w:name w:val="heading 2"/>
    <w:basedOn w:val="Normal"/>
    <w:pPr>
      <w:spacing w:before="200" w:after="80"/>
    </w:pPr>
    <w:rPr>
      <w:b/>
      <w:sz w:val="26"/>
    </w:rPr>
  </w:style>
  <w:style w:type="paragraph" w:styleId="Heading3">
    <w:name w:val="heading 3"/>
    <w:basedOn w:val="Normal"/>
    <w:rPr>
      <w:b/>
      <w:sz w:val="23"/>
    </w:rPr>
  </w:style>
  <w:style w:type="table" w:styleId="TableGrid">
    <w:name w:val="Table Grid"/>
    <w:tblPr>
      <w:tblBorders>
        <w:top w:val="single" w:sz="4"/>
        <w:left w:val="single" w:sz="4"/>
        <w:bottom w:val="single" w:sz="4"/>
        <w:right w:val="single" w:sz="4"/>
        <w:insideH w:val="single" w:sz="4"/>
        <w:insideV w:val="single" w:sz="4"/>
      </w:tblBorders>
    </w:tbl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